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FC1A" w14:textId="35B7ECFC"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BC339F" w:rsidRPr="00BC339F">
        <w:rPr>
          <w:rFonts w:ascii="Arial" w:eastAsia="宋体" w:hAnsi="Arial" w:cs="Arial"/>
          <w:b/>
          <w:noProof/>
          <w:sz w:val="24"/>
          <w:szCs w:val="24"/>
          <w:lang w:eastAsia="zh-CN"/>
        </w:rPr>
        <w:t>R4-2214855</w:t>
      </w:r>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B3CB253"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3C5AA8">
              <w:rPr>
                <w:b/>
                <w:noProof/>
                <w:sz w:val="28"/>
              </w:rPr>
              <w:t>6</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B93A09A" w:rsidR="001E41F3" w:rsidRDefault="002A5B4B" w:rsidP="00E939C8">
            <w:pPr>
              <w:pStyle w:val="CRCoverPage"/>
              <w:spacing w:after="0"/>
              <w:ind w:left="100"/>
              <w:rPr>
                <w:noProof/>
              </w:rPr>
            </w:pPr>
            <w:r w:rsidRPr="002A5B4B">
              <w:rPr>
                <w:noProof/>
                <w:lang w:eastAsia="zh-CN"/>
              </w:rPr>
              <w:t>Draft CR on PRACH test requirement for high speed train (38.141-2</w:t>
            </w:r>
            <w:r w:rsidR="00025A4B">
              <w:rPr>
                <w:noProof/>
                <w:lang w:eastAsia="zh-CN"/>
              </w:rPr>
              <w:t>, Rel-17</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65BB791" w:rsidR="001E41F3" w:rsidRDefault="0031497C" w:rsidP="005F6E85">
            <w:pPr>
              <w:pStyle w:val="CRCoverPage"/>
              <w:spacing w:after="0"/>
              <w:ind w:left="100"/>
              <w:rPr>
                <w:noProof/>
              </w:rPr>
            </w:pPr>
            <w:r>
              <w:rPr>
                <w:noProof/>
                <w:lang w:eastAsia="zh-CN"/>
              </w:rPr>
              <w:t>Huawei</w:t>
            </w:r>
            <w:r w:rsidR="005F67E9">
              <w:rPr>
                <w:noProof/>
                <w:lang w:eastAsia="zh-CN"/>
              </w:rPr>
              <w:t>, HiSilicon</w:t>
            </w:r>
            <w:r w:rsidR="00643A65">
              <w:rPr>
                <w:noProof/>
                <w:lang w:eastAsia="zh-CN"/>
              </w:rPr>
              <w:t xml:space="preserve">, </w:t>
            </w:r>
            <w:r w:rsidR="00AD006A" w:rsidRPr="00AD006A">
              <w:rPr>
                <w:noProof/>
                <w:lang w:eastAsia="zh-CN"/>
              </w:rPr>
              <w:t>Nokia, Nokia Shanghai Bell</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81837AB"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8F2055">
              <w:rPr>
                <w:noProof/>
                <w:lang w:eastAsia="zh-CN"/>
              </w:rPr>
              <w:t>2</w:t>
            </w:r>
            <w:r w:rsidR="00BC339F">
              <w:rPr>
                <w:noProof/>
                <w:lang w:eastAsia="zh-CN"/>
              </w:rPr>
              <w:t>5</w:t>
            </w:r>
            <w:bookmarkStart w:id="4" w:name="_GoBack"/>
            <w:bookmarkEnd w:id="4"/>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7556D451" w:rsidR="001E41F3" w:rsidRPr="00E07A1F" w:rsidRDefault="003C5AA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9A86C" w14:textId="2FE47415" w:rsidR="009225C9" w:rsidRDefault="009225C9" w:rsidP="006F3DA1">
            <w:pPr>
              <w:pStyle w:val="CRCoverPage"/>
              <w:spacing w:after="0"/>
              <w:ind w:leftChars="50" w:left="100"/>
              <w:rPr>
                <w:noProof/>
                <w:lang w:eastAsia="zh-CN"/>
              </w:rPr>
            </w:pPr>
            <w:r>
              <w:rPr>
                <w:rFonts w:hint="eastAsia"/>
                <w:noProof/>
                <w:lang w:eastAsia="zh-CN"/>
              </w:rPr>
              <w:t>1</w:t>
            </w:r>
            <w:r>
              <w:rPr>
                <w:noProof/>
                <w:lang w:eastAsia="zh-CN"/>
              </w:rPr>
              <w:t>.</w:t>
            </w:r>
            <w:r>
              <w:t xml:space="preserve"> </w:t>
            </w:r>
            <w:r w:rsidRPr="009225C9">
              <w:rPr>
                <w:noProof/>
                <w:lang w:eastAsia="zh-CN"/>
              </w:rPr>
              <w:t>Add note that HST FR2 requirements are only applicable for FR2-1.</w:t>
            </w:r>
          </w:p>
          <w:p w14:paraId="3BFCC87B" w14:textId="7FE4F4E3" w:rsidR="00917870" w:rsidRPr="00047BF6" w:rsidRDefault="009225C9" w:rsidP="006F3DA1">
            <w:pPr>
              <w:pStyle w:val="CRCoverPage"/>
              <w:spacing w:after="0"/>
              <w:ind w:leftChars="50" w:left="100"/>
              <w:rPr>
                <w:noProof/>
                <w:lang w:val="en-US" w:eastAsia="zh-CN"/>
              </w:rPr>
            </w:pPr>
            <w:r>
              <w:rPr>
                <w:noProof/>
                <w:lang w:eastAsia="zh-CN"/>
              </w:rPr>
              <w:t xml:space="preserve">2. </w:t>
            </w:r>
            <w:r w:rsidR="003C5AA8" w:rsidRPr="003C5AA8">
              <w:rPr>
                <w:noProof/>
                <w:lang w:eastAsia="zh-CN"/>
              </w:rPr>
              <w:t>Remove square brackets for</w:t>
            </w:r>
            <w:r w:rsidR="00A72326">
              <w:rPr>
                <w:noProof/>
                <w:lang w:eastAsia="zh-CN"/>
              </w:rPr>
              <w:t xml:space="preserve"> NR </w:t>
            </w:r>
            <w:r w:rsidR="00FB423D">
              <w:rPr>
                <w:noProof/>
                <w:lang w:eastAsia="zh-CN"/>
              </w:rPr>
              <w:t>HST FR2</w:t>
            </w:r>
            <w:r w:rsidR="00A72326">
              <w:rPr>
                <w:noProof/>
                <w:lang w:eastAsia="zh-CN"/>
              </w:rPr>
              <w:t xml:space="preserve">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sidR="00A72326">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3C2E7" w14:textId="363FABB4" w:rsidR="009225C9" w:rsidRDefault="009225C9" w:rsidP="005F6E85">
            <w:pPr>
              <w:pStyle w:val="CRCoverPage"/>
              <w:spacing w:after="0"/>
              <w:ind w:left="100"/>
              <w:rPr>
                <w:noProof/>
                <w:lang w:eastAsia="zh-CN"/>
              </w:rPr>
            </w:pPr>
            <w:r>
              <w:rPr>
                <w:rFonts w:hint="eastAsia"/>
                <w:noProof/>
                <w:lang w:eastAsia="zh-CN"/>
              </w:rPr>
              <w:t>1</w:t>
            </w:r>
            <w:r>
              <w:rPr>
                <w:noProof/>
                <w:lang w:eastAsia="zh-CN"/>
              </w:rPr>
              <w:t xml:space="preserve">. </w:t>
            </w:r>
            <w:r w:rsidRPr="009225C9">
              <w:rPr>
                <w:noProof/>
                <w:lang w:eastAsia="zh-CN"/>
              </w:rPr>
              <w:t>Add note that HST FR2 requirements are only applicable for FR2-1.</w:t>
            </w:r>
          </w:p>
          <w:p w14:paraId="311408DC" w14:textId="5024BD02" w:rsidR="00B850DD" w:rsidRDefault="009225C9" w:rsidP="005F6E85">
            <w:pPr>
              <w:pStyle w:val="CRCoverPage"/>
              <w:spacing w:after="0"/>
              <w:ind w:left="100"/>
              <w:rPr>
                <w:noProof/>
                <w:lang w:eastAsia="zh-CN"/>
              </w:rPr>
            </w:pPr>
            <w:r>
              <w:rPr>
                <w:noProof/>
                <w:lang w:eastAsia="zh-CN"/>
              </w:rPr>
              <w:t xml:space="preserve">2. </w:t>
            </w:r>
            <w:r w:rsidR="00A72326">
              <w:rPr>
                <w:rFonts w:hint="eastAsia"/>
                <w:noProof/>
                <w:lang w:eastAsia="zh-CN"/>
              </w:rPr>
              <w:t>F</w:t>
            </w:r>
            <w:r w:rsidR="00A72326">
              <w:rPr>
                <w:noProof/>
                <w:lang w:eastAsia="zh-CN"/>
              </w:rPr>
              <w:t xml:space="preserve">or </w:t>
            </w:r>
            <w:r w:rsidR="00FB423D">
              <w:rPr>
                <w:noProof/>
                <w:lang w:eastAsia="zh-CN"/>
              </w:rPr>
              <w:t xml:space="preserve">HST FR2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sidR="00A72326">
              <w:rPr>
                <w:noProof/>
                <w:lang w:eastAsia="zh-CN"/>
              </w:rPr>
              <w:t xml:space="preserve">, </w:t>
            </w:r>
            <w:r w:rsidR="0087577A">
              <w:rPr>
                <w:noProof/>
                <w:lang w:eastAsia="zh-CN"/>
              </w:rPr>
              <w:t>update</w:t>
            </w:r>
            <w:r w:rsidR="00A72326">
              <w:rPr>
                <w:noProof/>
                <w:lang w:eastAsia="zh-CN"/>
              </w:rPr>
              <w:t xml:space="preserve"> clause </w:t>
            </w:r>
            <w:r w:rsidR="002A5B4B">
              <w:rPr>
                <w:noProof/>
                <w:lang w:eastAsia="zh-CN"/>
              </w:rPr>
              <w:t>8</w:t>
            </w:r>
            <w:r w:rsidR="00500B4B">
              <w:rPr>
                <w:noProof/>
                <w:lang w:eastAsia="zh-CN"/>
              </w:rPr>
              <w:t>.4</w:t>
            </w:r>
            <w:r w:rsidR="003C5AA8">
              <w:rPr>
                <w:noProof/>
                <w:lang w:eastAsia="zh-CN"/>
              </w:rPr>
              <w:t>.1.6.2</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5450596" w:rsidR="001E41F3" w:rsidRDefault="009225C9" w:rsidP="006F3DA1">
            <w:pPr>
              <w:pStyle w:val="CRCoverPage"/>
              <w:spacing w:after="0"/>
              <w:ind w:left="100"/>
              <w:rPr>
                <w:noProof/>
              </w:rPr>
            </w:pPr>
            <w:r w:rsidRPr="009225C9">
              <w:rPr>
                <w:noProof/>
              </w:rPr>
              <w:t>There will be inconsisint between RAN4 agreements and the specification.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DA5F556" w:rsidR="001E41F3" w:rsidRDefault="009225C9" w:rsidP="005F6E85">
            <w:pPr>
              <w:pStyle w:val="CRCoverPage"/>
              <w:spacing w:after="0"/>
              <w:ind w:left="100"/>
              <w:rPr>
                <w:noProof/>
              </w:rPr>
            </w:pPr>
            <w:r>
              <w:rPr>
                <w:noProof/>
              </w:rPr>
              <w:t xml:space="preserve">8.4.1.1, </w:t>
            </w:r>
            <w:r w:rsidR="002A5B4B">
              <w:rPr>
                <w:noProof/>
              </w:rPr>
              <w:t>8</w:t>
            </w:r>
            <w:r w:rsidR="00500B4B">
              <w:rPr>
                <w:noProof/>
              </w:rPr>
              <w:t>.4</w:t>
            </w:r>
            <w:r w:rsidR="003C5AA8">
              <w:rPr>
                <w:noProof/>
              </w:rPr>
              <w:t>.1.6.2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60E78F" w14:textId="1C543491" w:rsidR="009225C9" w:rsidRPr="009225C9" w:rsidRDefault="009225C9" w:rsidP="009225C9">
      <w:pPr>
        <w:pStyle w:val="aff2"/>
        <w:rPr>
          <w:rFonts w:ascii="Times New Roman" w:hAnsi="Times New Roman"/>
          <w:i/>
          <w:highlight w:val="yellow"/>
        </w:rPr>
      </w:pPr>
      <w:bookmarkStart w:id="6" w:name="_Toc21103060"/>
      <w:bookmarkStart w:id="7" w:name="_Toc29810909"/>
      <w:bookmarkStart w:id="8" w:name="_Toc36636269"/>
      <w:bookmarkStart w:id="9" w:name="_Toc37273215"/>
      <w:bookmarkStart w:id="10" w:name="_Toc45886303"/>
      <w:bookmarkStart w:id="11" w:name="_Toc53183348"/>
      <w:bookmarkStart w:id="12" w:name="_Toc58916057"/>
      <w:bookmarkStart w:id="13" w:name="_Toc58918238"/>
      <w:bookmarkStart w:id="14" w:name="_Toc66694108"/>
      <w:bookmarkStart w:id="15" w:name="_Toc74916131"/>
      <w:bookmarkStart w:id="16" w:name="_Toc76114756"/>
      <w:bookmarkStart w:id="17" w:name="_Toc76544642"/>
      <w:bookmarkStart w:id="18" w:name="_Toc82536764"/>
      <w:bookmarkStart w:id="19" w:name="_Toc89953057"/>
      <w:bookmarkStart w:id="20" w:name="_Toc98766873"/>
      <w:bookmarkStart w:id="21" w:name="_Toc99703236"/>
      <w:bookmarkStart w:id="22" w:name="_Toc106207026"/>
      <w:bookmarkStart w:id="23" w:name="_Toc66386397"/>
      <w:bookmarkStart w:id="24"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0908DA1A" w14:textId="1FB2472A" w:rsidR="009225C9" w:rsidRPr="009225C9" w:rsidRDefault="009225C9" w:rsidP="009225C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9225C9">
        <w:rPr>
          <w:rFonts w:ascii="Arial" w:eastAsia="等线" w:hAnsi="Arial"/>
          <w:sz w:val="24"/>
          <w:lang w:eastAsia="ja-JP"/>
        </w:rPr>
        <w:t>8.4.1.1</w:t>
      </w:r>
      <w:r w:rsidRPr="009225C9">
        <w:rPr>
          <w:rFonts w:ascii="Arial" w:eastAsia="等线" w:hAnsi="Arial"/>
          <w:sz w:val="24"/>
          <w:lang w:eastAsia="ja-JP"/>
        </w:rPr>
        <w:tab/>
        <w:t>Definition and applicability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3A3C348" w14:textId="77777777" w:rsidR="009225C9" w:rsidRPr="009225C9" w:rsidRDefault="009225C9" w:rsidP="009225C9">
      <w:pPr>
        <w:overflowPunct w:val="0"/>
        <w:autoSpaceDE w:val="0"/>
        <w:autoSpaceDN w:val="0"/>
        <w:adjustRightInd w:val="0"/>
        <w:textAlignment w:val="baseline"/>
        <w:rPr>
          <w:rFonts w:eastAsia="?c?e?o“A‘??S?V?b?N‘I"/>
          <w:color w:val="000000"/>
          <w:lang w:eastAsia="ja-JP"/>
        </w:rPr>
      </w:pPr>
      <w:r w:rsidRPr="009225C9">
        <w:rPr>
          <w:rFonts w:eastAsia="?c?e?o“A‘??S?V?b?N‘I"/>
          <w:color w:val="000000"/>
          <w:lang w:eastAsia="ja-JP"/>
        </w:rPr>
        <w:t>The performance requirement of PRACH for preamble detection is determined by the two parameters: total probability of false detection of the preamble (</w:t>
      </w:r>
      <w:proofErr w:type="spellStart"/>
      <w:r w:rsidRPr="009225C9">
        <w:rPr>
          <w:rFonts w:eastAsia="?c?e?o“A‘??S?V?b?N‘I"/>
          <w:color w:val="000000"/>
          <w:lang w:eastAsia="ja-JP"/>
        </w:rPr>
        <w:t>Pfa</w:t>
      </w:r>
      <w:proofErr w:type="spellEnd"/>
      <w:r w:rsidRPr="009225C9">
        <w:rPr>
          <w:rFonts w:eastAsia="?c?e?o“A‘??S?V?b?N‘I"/>
          <w:color w:val="000000"/>
          <w:lang w:eastAsia="ja-JP"/>
        </w:rPr>
        <w:t xml:space="preserve">) and the probability of detection of preamble (Pd). The performance is measured by the required SNR at probability of detection, Pd of 99%. </w:t>
      </w:r>
      <w:proofErr w:type="spellStart"/>
      <w:r w:rsidRPr="009225C9">
        <w:rPr>
          <w:rFonts w:eastAsia="?c?e?o“A‘??S?V?b?N‘I"/>
          <w:color w:val="000000"/>
          <w:lang w:eastAsia="ja-JP"/>
        </w:rPr>
        <w:t>Pfa</w:t>
      </w:r>
      <w:proofErr w:type="spellEnd"/>
      <w:r w:rsidRPr="009225C9">
        <w:rPr>
          <w:rFonts w:eastAsia="?c?e?o“A‘??S?V?b?N‘I"/>
          <w:color w:val="000000"/>
          <w:lang w:eastAsia="ja-JP"/>
        </w:rPr>
        <w:t xml:space="preserve"> shall be 0.1% or less.</w:t>
      </w:r>
    </w:p>
    <w:p w14:paraId="2C875E99" w14:textId="77777777" w:rsidR="009225C9" w:rsidRPr="009225C9" w:rsidRDefault="009225C9" w:rsidP="009225C9">
      <w:pPr>
        <w:overflowPunct w:val="0"/>
        <w:autoSpaceDE w:val="0"/>
        <w:autoSpaceDN w:val="0"/>
        <w:adjustRightInd w:val="0"/>
        <w:textAlignment w:val="baseline"/>
        <w:rPr>
          <w:rFonts w:eastAsia="?c?e?o“A‘??S?V?b?N‘I"/>
          <w:color w:val="000000"/>
          <w:lang w:eastAsia="ja-JP"/>
        </w:rPr>
      </w:pPr>
      <w:proofErr w:type="spellStart"/>
      <w:r w:rsidRPr="009225C9">
        <w:rPr>
          <w:rFonts w:eastAsia="?c?e?o“A‘??S?V?b?N‘I"/>
          <w:color w:val="000000"/>
          <w:lang w:eastAsia="ja-JP"/>
        </w:rPr>
        <w:t>Pfa</w:t>
      </w:r>
      <w:proofErr w:type="spellEnd"/>
      <w:r w:rsidRPr="009225C9">
        <w:rPr>
          <w:rFonts w:eastAsia="?c?e?o“A‘??S?V?b?N‘I"/>
          <w:color w:val="000000"/>
          <w:lang w:eastAsia="ja-JP"/>
        </w:rPr>
        <w:t xml:space="preserve"> is defined as a conditional total probability of erroneous detection of the preamble (i.e. </w:t>
      </w:r>
      <w:r w:rsidRPr="009225C9">
        <w:rPr>
          <w:rFonts w:eastAsia="等线"/>
          <w:noProof/>
          <w:color w:val="000000"/>
          <w:lang w:eastAsia="ja-JP"/>
        </w:rPr>
        <w:t>erroneous detection from any detector</w:t>
      </w:r>
      <w:r w:rsidRPr="009225C9">
        <w:rPr>
          <w:rFonts w:eastAsia="?c?e?o“A‘??S?V?b?N‘I"/>
          <w:color w:val="000000"/>
          <w:lang w:eastAsia="ja-JP"/>
        </w:rPr>
        <w:t>) when input is only noise.</w:t>
      </w:r>
    </w:p>
    <w:p w14:paraId="6044EB52" w14:textId="77777777" w:rsidR="009225C9" w:rsidRPr="009225C9" w:rsidRDefault="009225C9" w:rsidP="009225C9">
      <w:pPr>
        <w:overflowPunct w:val="0"/>
        <w:autoSpaceDE w:val="0"/>
        <w:autoSpaceDN w:val="0"/>
        <w:adjustRightInd w:val="0"/>
        <w:textAlignment w:val="baseline"/>
        <w:rPr>
          <w:rFonts w:eastAsia="等线"/>
          <w:color w:val="000000"/>
          <w:lang w:eastAsia="zh-CN"/>
        </w:rPr>
      </w:pPr>
      <w:r w:rsidRPr="009225C9">
        <w:rPr>
          <w:rFonts w:eastAsia="?c?e?o“A‘??S?V?b?N‘I"/>
          <w:color w:val="000000"/>
          <w:lang w:eastAsia="ja-JP"/>
        </w:rPr>
        <w:t xml:space="preserve">Pd is defined as conditional probability of detection of the preamble when the signal is present. The erroneous detection consists of several error cases – detecting </w:t>
      </w:r>
      <w:r w:rsidRPr="009225C9">
        <w:rPr>
          <w:rFonts w:eastAsia="等线"/>
          <w:color w:val="000000"/>
          <w:lang w:eastAsia="zh-CN"/>
        </w:rPr>
        <w:t xml:space="preserve">only </w:t>
      </w:r>
      <w:r w:rsidRPr="009225C9">
        <w:rPr>
          <w:rFonts w:eastAsia="?c?e?o“A‘??S?V?b?N‘I"/>
          <w:color w:val="000000"/>
          <w:lang w:eastAsia="ja-JP"/>
        </w:rPr>
        <w:t>different preamble</w:t>
      </w:r>
      <w:r w:rsidRPr="009225C9">
        <w:rPr>
          <w:rFonts w:eastAsia="等线"/>
          <w:color w:val="000000"/>
          <w:lang w:eastAsia="zh-CN"/>
        </w:rPr>
        <w:t>(s)</w:t>
      </w:r>
      <w:r w:rsidRPr="009225C9">
        <w:rPr>
          <w:rFonts w:eastAsia="?c?e?o“A‘??S?V?b?N‘I"/>
          <w:color w:val="000000"/>
          <w:lang w:eastAsia="ja-JP"/>
        </w:rPr>
        <w:t xml:space="preserve"> than the one that was sent, not detecting </w:t>
      </w:r>
      <w:r w:rsidRPr="009225C9">
        <w:rPr>
          <w:rFonts w:eastAsia="等线"/>
          <w:color w:val="000000"/>
          <w:lang w:eastAsia="zh-CN"/>
        </w:rPr>
        <w:t>any</w:t>
      </w:r>
      <w:r w:rsidRPr="009225C9">
        <w:rPr>
          <w:rFonts w:eastAsia="?c?e?o“A‘??S?V?b?N‘I"/>
          <w:color w:val="000000"/>
          <w:lang w:eastAsia="ja-JP"/>
        </w:rPr>
        <w:t xml:space="preserve"> preamble at all, or </w:t>
      </w:r>
      <w:r w:rsidRPr="009225C9">
        <w:rPr>
          <w:rFonts w:eastAsia="等线"/>
          <w:color w:val="000000"/>
          <w:lang w:eastAsia="zh-CN"/>
        </w:rPr>
        <w:t xml:space="preserve">detecting the </w:t>
      </w:r>
      <w:r w:rsidRPr="009225C9">
        <w:rPr>
          <w:rFonts w:eastAsia="?c?e?o“A‘??S?V?b?N‘I"/>
          <w:color w:val="000000"/>
          <w:lang w:eastAsia="ja-JP"/>
        </w:rPr>
        <w:t>correct preamble but with the out-of-bounds timing estimation</w:t>
      </w:r>
      <w:r w:rsidRPr="009225C9">
        <w:rPr>
          <w:rFonts w:eastAsia="等线"/>
          <w:color w:val="000000"/>
          <w:lang w:eastAsia="zh-CN"/>
        </w:rPr>
        <w:t xml:space="preserve"> value</w:t>
      </w:r>
      <w:r w:rsidRPr="009225C9">
        <w:rPr>
          <w:rFonts w:eastAsia="?c?e?o“A‘??S?V?b?N‘I"/>
          <w:color w:val="000000"/>
          <w:lang w:eastAsia="ja-JP"/>
        </w:rPr>
        <w:t xml:space="preserve">. </w:t>
      </w:r>
      <w:r w:rsidRPr="009225C9">
        <w:rPr>
          <w:rFonts w:eastAsia="等线"/>
          <w:color w:val="000000"/>
          <w:lang w:eastAsia="zh-CN"/>
        </w:rPr>
        <w:t xml:space="preserve">For AWGN, TDLC300-100, TDLA30-10,  and TDLA30-300, a timing </w:t>
      </w:r>
      <w:r w:rsidRPr="009225C9">
        <w:rPr>
          <w:rFonts w:eastAsia="?c?e?o“A‘??S?V?b?N‘I"/>
          <w:color w:val="000000"/>
          <w:lang w:eastAsia="ja-JP"/>
        </w:rPr>
        <w:t xml:space="preserve">estimation error occurs if the estimation error of the timing of the strongest path is larger than </w:t>
      </w:r>
      <w:r w:rsidRPr="009225C9">
        <w:rPr>
          <w:rFonts w:eastAsia="等线"/>
          <w:color w:val="000000"/>
          <w:lang w:eastAsia="zh-CN"/>
        </w:rPr>
        <w:t xml:space="preserve">the time error tolerance values given in table </w:t>
      </w:r>
      <w:r w:rsidRPr="009225C9">
        <w:rPr>
          <w:rFonts w:eastAsia="‚c‚e‚o“Á‘¾ƒSƒVƒbƒN‘Ì"/>
          <w:color w:val="000000"/>
          <w:lang w:eastAsia="ja-JP"/>
        </w:rPr>
        <w:t>8.4.</w:t>
      </w:r>
      <w:r w:rsidRPr="009225C9">
        <w:rPr>
          <w:rFonts w:eastAsia="等线"/>
          <w:color w:val="000000"/>
          <w:lang w:eastAsia="zh-CN"/>
        </w:rPr>
        <w:t>1.1</w:t>
      </w:r>
      <w:r w:rsidRPr="009225C9">
        <w:rPr>
          <w:rFonts w:eastAsia="‚c‚e‚o“Á‘¾ƒSƒVƒbƒN‘Ì"/>
          <w:color w:val="000000"/>
          <w:lang w:eastAsia="ja-JP"/>
        </w:rPr>
        <w:t>-1</w:t>
      </w:r>
      <w:r w:rsidRPr="009225C9">
        <w:rPr>
          <w:rFonts w:eastAsia="?c?e?o“A‘??S?V?b?N‘I"/>
          <w:color w:val="000000"/>
          <w:lang w:eastAsia="ja-JP"/>
        </w:rPr>
        <w:t>.</w:t>
      </w:r>
    </w:p>
    <w:p w14:paraId="4F049D87" w14:textId="77777777" w:rsidR="009225C9" w:rsidRPr="009225C9" w:rsidRDefault="009225C9" w:rsidP="009225C9">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9225C9">
        <w:rPr>
          <w:rFonts w:ascii="Arial" w:eastAsia="‚c‚e‚o“Á‘¾ƒSƒVƒbƒN‘Ì" w:hAnsi="Arial"/>
          <w:b/>
          <w:color w:val="000000"/>
          <w:lang w:eastAsia="ja-JP"/>
        </w:rPr>
        <w:t>Table 8.4.1</w:t>
      </w:r>
      <w:r w:rsidRPr="009225C9">
        <w:rPr>
          <w:rFonts w:ascii="Arial" w:eastAsia="等线" w:hAnsi="Arial"/>
          <w:b/>
          <w:color w:val="000000"/>
          <w:lang w:eastAsia="zh-CN"/>
        </w:rPr>
        <w:t>.1</w:t>
      </w:r>
      <w:r w:rsidRPr="009225C9">
        <w:rPr>
          <w:rFonts w:ascii="Arial" w:eastAsia="‚c‚e‚o“Á‘¾ƒSƒVƒbƒN‘Ì" w:hAnsi="Arial"/>
          <w:b/>
          <w:color w:val="000000"/>
          <w:lang w:eastAsia="ja-JP"/>
        </w:rPr>
        <w:t xml:space="preserve">-1: </w:t>
      </w:r>
      <w:r w:rsidRPr="009225C9">
        <w:rPr>
          <w:rFonts w:ascii="Arial" w:eastAsia="等线" w:hAnsi="Arial"/>
          <w:b/>
          <w:color w:val="000000"/>
          <w:lang w:eastAsia="zh-CN"/>
        </w:rPr>
        <w:t xml:space="preserve">Time error tolerance for AWGN, TDLC300-100, TDLA30-10, and </w:t>
      </w:r>
      <w:r w:rsidRPr="009225C9">
        <w:rPr>
          <w:rFonts w:ascii="Arial" w:eastAsia="等线" w:hAnsi="Arial" w:cs="v4.2.0"/>
          <w:b/>
          <w:color w:val="000000"/>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829"/>
        <w:gridCol w:w="1753"/>
        <w:gridCol w:w="1753"/>
        <w:gridCol w:w="1753"/>
      </w:tblGrid>
      <w:tr w:rsidR="009225C9" w:rsidRPr="009225C9" w14:paraId="7BBFC0AE" w14:textId="77777777" w:rsidTr="00810A92">
        <w:trPr>
          <w:cantSplit/>
          <w:jc w:val="center"/>
        </w:trPr>
        <w:tc>
          <w:tcPr>
            <w:tcW w:w="1484" w:type="dxa"/>
            <w:tcBorders>
              <w:top w:val="single" w:sz="4" w:space="0" w:color="auto"/>
              <w:left w:val="single" w:sz="4" w:space="0" w:color="auto"/>
              <w:bottom w:val="nil"/>
              <w:right w:val="single" w:sz="4" w:space="0" w:color="auto"/>
            </w:tcBorders>
            <w:hideMark/>
          </w:tcPr>
          <w:p w14:paraId="7F1C1DBB"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225C9">
              <w:rPr>
                <w:rFonts w:ascii="Arial" w:eastAsia="等线" w:hAnsi="Arial"/>
                <w:b/>
                <w:color w:val="000000"/>
                <w:sz w:val="18"/>
                <w:lang w:eastAsia="zh-CN"/>
              </w:rPr>
              <w:t>PRACH</w:t>
            </w:r>
          </w:p>
        </w:tc>
        <w:tc>
          <w:tcPr>
            <w:tcW w:w="1559" w:type="dxa"/>
            <w:tcBorders>
              <w:top w:val="single" w:sz="4" w:space="0" w:color="auto"/>
              <w:left w:val="single" w:sz="4" w:space="0" w:color="auto"/>
              <w:bottom w:val="nil"/>
              <w:right w:val="single" w:sz="4" w:space="0" w:color="auto"/>
            </w:tcBorders>
            <w:hideMark/>
          </w:tcPr>
          <w:p w14:paraId="74AD7907"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225C9">
              <w:rPr>
                <w:rFonts w:ascii="Arial" w:eastAsia="等线" w:hAnsi="Arial"/>
                <w:b/>
                <w:color w:val="000000"/>
                <w:sz w:val="18"/>
                <w:lang w:eastAsia="zh-CN"/>
              </w:rPr>
              <w:t>PRACH SCS</w:t>
            </w:r>
          </w:p>
        </w:tc>
        <w:tc>
          <w:tcPr>
            <w:tcW w:w="7088" w:type="dxa"/>
            <w:gridSpan w:val="4"/>
            <w:tcBorders>
              <w:top w:val="single" w:sz="4" w:space="0" w:color="auto"/>
              <w:left w:val="single" w:sz="4" w:space="0" w:color="auto"/>
              <w:bottom w:val="single" w:sz="4" w:space="0" w:color="auto"/>
              <w:right w:val="single" w:sz="4" w:space="0" w:color="auto"/>
            </w:tcBorders>
          </w:tcPr>
          <w:p w14:paraId="3E09098A"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225C9">
              <w:rPr>
                <w:rFonts w:ascii="Arial" w:eastAsia="等线" w:hAnsi="Arial"/>
                <w:b/>
                <w:color w:val="000000"/>
                <w:sz w:val="18"/>
                <w:lang w:eastAsia="zh-CN"/>
              </w:rPr>
              <w:t>Time error tolerance</w:t>
            </w:r>
          </w:p>
        </w:tc>
      </w:tr>
      <w:tr w:rsidR="009225C9" w:rsidRPr="009225C9" w14:paraId="092E9356" w14:textId="77777777" w:rsidTr="00810A92">
        <w:trPr>
          <w:cantSplit/>
          <w:jc w:val="center"/>
        </w:trPr>
        <w:tc>
          <w:tcPr>
            <w:tcW w:w="1484" w:type="dxa"/>
            <w:tcBorders>
              <w:top w:val="nil"/>
              <w:left w:val="single" w:sz="4" w:space="0" w:color="auto"/>
              <w:bottom w:val="single" w:sz="4" w:space="0" w:color="auto"/>
              <w:right w:val="single" w:sz="4" w:space="0" w:color="auto"/>
            </w:tcBorders>
            <w:hideMark/>
          </w:tcPr>
          <w:p w14:paraId="064FD358"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225C9">
              <w:rPr>
                <w:rFonts w:ascii="Arial" w:eastAsia="等线" w:hAnsi="Arial"/>
                <w:b/>
                <w:color w:val="000000"/>
                <w:sz w:val="18"/>
                <w:lang w:eastAsia="zh-CN"/>
              </w:rPr>
              <w:t>preamble</w:t>
            </w:r>
          </w:p>
        </w:tc>
        <w:tc>
          <w:tcPr>
            <w:tcW w:w="1559" w:type="dxa"/>
            <w:tcBorders>
              <w:top w:val="nil"/>
              <w:left w:val="single" w:sz="4" w:space="0" w:color="auto"/>
              <w:bottom w:val="single" w:sz="4" w:space="0" w:color="auto"/>
              <w:right w:val="single" w:sz="4" w:space="0" w:color="auto"/>
            </w:tcBorders>
            <w:hideMark/>
          </w:tcPr>
          <w:p w14:paraId="3F6B7B76"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225C9">
              <w:rPr>
                <w:rFonts w:ascii="Arial" w:eastAsia="等线" w:hAnsi="Arial"/>
                <w:b/>
                <w:color w:val="000000"/>
                <w:sz w:val="18"/>
                <w:lang w:eastAsia="zh-CN"/>
              </w:rPr>
              <w:t>(kHz)</w:t>
            </w:r>
          </w:p>
        </w:tc>
        <w:tc>
          <w:tcPr>
            <w:tcW w:w="1829" w:type="dxa"/>
            <w:tcBorders>
              <w:top w:val="single" w:sz="4" w:space="0" w:color="auto"/>
              <w:left w:val="single" w:sz="4" w:space="0" w:color="auto"/>
              <w:bottom w:val="single" w:sz="4" w:space="0" w:color="auto"/>
              <w:right w:val="single" w:sz="4" w:space="0" w:color="auto"/>
            </w:tcBorders>
            <w:hideMark/>
          </w:tcPr>
          <w:p w14:paraId="196C22F4"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225C9">
              <w:rPr>
                <w:rFonts w:ascii="Arial" w:eastAsia="等线" w:hAnsi="Arial"/>
                <w:b/>
                <w:color w:val="000000"/>
                <w:sz w:val="18"/>
                <w:lang w:eastAsia="zh-CN"/>
              </w:rPr>
              <w:t>AWGN</w:t>
            </w:r>
          </w:p>
        </w:tc>
        <w:tc>
          <w:tcPr>
            <w:tcW w:w="1753" w:type="dxa"/>
            <w:tcBorders>
              <w:top w:val="single" w:sz="4" w:space="0" w:color="auto"/>
              <w:left w:val="single" w:sz="4" w:space="0" w:color="auto"/>
              <w:bottom w:val="single" w:sz="4" w:space="0" w:color="auto"/>
              <w:right w:val="single" w:sz="4" w:space="0" w:color="auto"/>
            </w:tcBorders>
            <w:hideMark/>
          </w:tcPr>
          <w:p w14:paraId="6485B03F"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225C9">
              <w:rPr>
                <w:rFonts w:ascii="Arial" w:eastAsia="等线" w:hAnsi="Arial"/>
                <w:b/>
                <w:color w:val="000000"/>
                <w:sz w:val="18"/>
                <w:lang w:eastAsia="zh-CN"/>
              </w:rPr>
              <w:t>TDLC300-100</w:t>
            </w:r>
          </w:p>
        </w:tc>
        <w:tc>
          <w:tcPr>
            <w:tcW w:w="1753" w:type="dxa"/>
            <w:tcBorders>
              <w:top w:val="single" w:sz="4" w:space="0" w:color="auto"/>
              <w:left w:val="single" w:sz="4" w:space="0" w:color="auto"/>
              <w:bottom w:val="single" w:sz="4" w:space="0" w:color="auto"/>
              <w:right w:val="single" w:sz="4" w:space="0" w:color="auto"/>
            </w:tcBorders>
          </w:tcPr>
          <w:p w14:paraId="77C75745"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225C9">
              <w:rPr>
                <w:rFonts w:ascii="Arial" w:eastAsia="等线" w:hAnsi="Arial"/>
                <w:b/>
                <w:color w:val="000000"/>
                <w:sz w:val="18"/>
                <w:lang w:eastAsia="zh-CN"/>
              </w:rPr>
              <w:t>TDLA30-10</w:t>
            </w:r>
          </w:p>
        </w:tc>
        <w:tc>
          <w:tcPr>
            <w:tcW w:w="1753" w:type="dxa"/>
            <w:tcBorders>
              <w:top w:val="single" w:sz="4" w:space="0" w:color="auto"/>
              <w:left w:val="single" w:sz="4" w:space="0" w:color="auto"/>
              <w:bottom w:val="single" w:sz="4" w:space="0" w:color="auto"/>
              <w:right w:val="single" w:sz="4" w:space="0" w:color="auto"/>
            </w:tcBorders>
            <w:hideMark/>
          </w:tcPr>
          <w:p w14:paraId="356BF1F8"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225C9">
              <w:rPr>
                <w:rFonts w:ascii="Arial" w:eastAsia="等线" w:hAnsi="Arial"/>
                <w:b/>
                <w:color w:val="000000"/>
                <w:sz w:val="18"/>
                <w:lang w:eastAsia="zh-CN"/>
              </w:rPr>
              <w:t>TDLA30-300</w:t>
            </w:r>
          </w:p>
        </w:tc>
      </w:tr>
      <w:tr w:rsidR="009225C9" w:rsidRPr="009225C9" w14:paraId="58626BFC" w14:textId="77777777" w:rsidTr="00810A92">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5AD6EE5B"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0</w:t>
            </w:r>
          </w:p>
        </w:tc>
        <w:tc>
          <w:tcPr>
            <w:tcW w:w="1559" w:type="dxa"/>
            <w:tcBorders>
              <w:top w:val="single" w:sz="4" w:space="0" w:color="auto"/>
              <w:left w:val="single" w:sz="4" w:space="0" w:color="auto"/>
              <w:bottom w:val="single" w:sz="4" w:space="0" w:color="auto"/>
              <w:right w:val="single" w:sz="4" w:space="0" w:color="auto"/>
            </w:tcBorders>
            <w:hideMark/>
          </w:tcPr>
          <w:p w14:paraId="02830808"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1.25</w:t>
            </w:r>
          </w:p>
        </w:tc>
        <w:tc>
          <w:tcPr>
            <w:tcW w:w="1829" w:type="dxa"/>
            <w:tcBorders>
              <w:top w:val="single" w:sz="4" w:space="0" w:color="auto"/>
              <w:left w:val="single" w:sz="4" w:space="0" w:color="auto"/>
              <w:bottom w:val="single" w:sz="4" w:space="0" w:color="auto"/>
              <w:right w:val="single" w:sz="4" w:space="0" w:color="auto"/>
            </w:tcBorders>
            <w:hideMark/>
          </w:tcPr>
          <w:p w14:paraId="77D7CEC1"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1.04 us</w:t>
            </w:r>
          </w:p>
        </w:tc>
        <w:tc>
          <w:tcPr>
            <w:tcW w:w="1753" w:type="dxa"/>
            <w:tcBorders>
              <w:top w:val="single" w:sz="4" w:space="0" w:color="auto"/>
              <w:left w:val="single" w:sz="4" w:space="0" w:color="auto"/>
              <w:bottom w:val="single" w:sz="4" w:space="0" w:color="auto"/>
              <w:right w:val="single" w:sz="4" w:space="0" w:color="auto"/>
            </w:tcBorders>
            <w:hideMark/>
          </w:tcPr>
          <w:p w14:paraId="2D23B6A1"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2.55 us</w:t>
            </w:r>
          </w:p>
        </w:tc>
        <w:tc>
          <w:tcPr>
            <w:tcW w:w="1753" w:type="dxa"/>
            <w:tcBorders>
              <w:top w:val="single" w:sz="4" w:space="0" w:color="auto"/>
              <w:left w:val="single" w:sz="4" w:space="0" w:color="auto"/>
              <w:bottom w:val="single" w:sz="4" w:space="0" w:color="auto"/>
              <w:right w:val="single" w:sz="4" w:space="0" w:color="auto"/>
            </w:tcBorders>
          </w:tcPr>
          <w:p w14:paraId="4E221A46"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0D56DCD4"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N/A</w:t>
            </w:r>
          </w:p>
        </w:tc>
      </w:tr>
      <w:tr w:rsidR="009225C9" w:rsidRPr="009225C9" w14:paraId="246B43F2" w14:textId="77777777" w:rsidTr="00810A92">
        <w:trPr>
          <w:cantSplit/>
          <w:jc w:val="center"/>
        </w:trPr>
        <w:tc>
          <w:tcPr>
            <w:tcW w:w="1484" w:type="dxa"/>
            <w:tcBorders>
              <w:top w:val="single" w:sz="4" w:space="0" w:color="auto"/>
              <w:left w:val="single" w:sz="4" w:space="0" w:color="auto"/>
              <w:bottom w:val="nil"/>
              <w:right w:val="single" w:sz="4" w:space="0" w:color="auto"/>
            </w:tcBorders>
            <w:hideMark/>
          </w:tcPr>
          <w:p w14:paraId="52D57A83"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A1, A2, A3, B4, C0, C2</w:t>
            </w:r>
          </w:p>
        </w:tc>
        <w:tc>
          <w:tcPr>
            <w:tcW w:w="1559" w:type="dxa"/>
            <w:tcBorders>
              <w:top w:val="single" w:sz="4" w:space="0" w:color="auto"/>
              <w:left w:val="single" w:sz="4" w:space="0" w:color="auto"/>
              <w:bottom w:val="single" w:sz="4" w:space="0" w:color="auto"/>
              <w:right w:val="single" w:sz="4" w:space="0" w:color="auto"/>
            </w:tcBorders>
            <w:hideMark/>
          </w:tcPr>
          <w:p w14:paraId="62C9D6DE"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9225C9">
              <w:rPr>
                <w:rFonts w:ascii="Arial" w:eastAsia="等线" w:hAnsi="Arial"/>
                <w:color w:val="000000"/>
                <w:sz w:val="18"/>
                <w:lang w:eastAsia="zh-CN"/>
              </w:rPr>
              <w:t>15</w:t>
            </w:r>
          </w:p>
        </w:tc>
        <w:tc>
          <w:tcPr>
            <w:tcW w:w="1829" w:type="dxa"/>
            <w:tcBorders>
              <w:top w:val="single" w:sz="4" w:space="0" w:color="auto"/>
              <w:left w:val="single" w:sz="4" w:space="0" w:color="auto"/>
              <w:bottom w:val="single" w:sz="4" w:space="0" w:color="auto"/>
              <w:right w:val="single" w:sz="4" w:space="0" w:color="auto"/>
            </w:tcBorders>
            <w:hideMark/>
          </w:tcPr>
          <w:p w14:paraId="7444F656"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0.52 us</w:t>
            </w:r>
          </w:p>
        </w:tc>
        <w:tc>
          <w:tcPr>
            <w:tcW w:w="1753" w:type="dxa"/>
            <w:tcBorders>
              <w:top w:val="single" w:sz="4" w:space="0" w:color="auto"/>
              <w:left w:val="single" w:sz="4" w:space="0" w:color="auto"/>
              <w:bottom w:val="single" w:sz="4" w:space="0" w:color="auto"/>
              <w:right w:val="single" w:sz="4" w:space="0" w:color="auto"/>
            </w:tcBorders>
            <w:hideMark/>
          </w:tcPr>
          <w:p w14:paraId="14AB2C78"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2.03 us</w:t>
            </w:r>
          </w:p>
        </w:tc>
        <w:tc>
          <w:tcPr>
            <w:tcW w:w="1753" w:type="dxa"/>
            <w:tcBorders>
              <w:top w:val="single" w:sz="4" w:space="0" w:color="auto"/>
              <w:left w:val="single" w:sz="4" w:space="0" w:color="auto"/>
              <w:bottom w:val="single" w:sz="4" w:space="0" w:color="auto"/>
              <w:right w:val="single" w:sz="4" w:space="0" w:color="auto"/>
            </w:tcBorders>
          </w:tcPr>
          <w:p w14:paraId="05D5A860"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s="v5.0.0"/>
                <w:color w:val="000000"/>
                <w:sz w:val="18"/>
                <w:lang w:eastAsia="zh-CN"/>
              </w:rPr>
              <w:t>0.67 us</w:t>
            </w:r>
          </w:p>
        </w:tc>
        <w:tc>
          <w:tcPr>
            <w:tcW w:w="1753" w:type="dxa"/>
            <w:tcBorders>
              <w:top w:val="single" w:sz="4" w:space="0" w:color="auto"/>
              <w:left w:val="single" w:sz="4" w:space="0" w:color="auto"/>
              <w:bottom w:val="single" w:sz="4" w:space="0" w:color="auto"/>
              <w:right w:val="single" w:sz="4" w:space="0" w:color="auto"/>
            </w:tcBorders>
            <w:hideMark/>
          </w:tcPr>
          <w:p w14:paraId="70A927DD"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N/A</w:t>
            </w:r>
          </w:p>
        </w:tc>
      </w:tr>
      <w:tr w:rsidR="009225C9" w:rsidRPr="009225C9" w14:paraId="7E778B80" w14:textId="77777777" w:rsidTr="00810A92">
        <w:trPr>
          <w:cantSplit/>
          <w:jc w:val="center"/>
        </w:trPr>
        <w:tc>
          <w:tcPr>
            <w:tcW w:w="1484" w:type="dxa"/>
            <w:tcBorders>
              <w:top w:val="nil"/>
              <w:left w:val="single" w:sz="4" w:space="0" w:color="auto"/>
              <w:bottom w:val="nil"/>
              <w:right w:val="single" w:sz="4" w:space="0" w:color="auto"/>
            </w:tcBorders>
          </w:tcPr>
          <w:p w14:paraId="421A5BBA"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83DCCFC"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9225C9">
              <w:rPr>
                <w:rFonts w:ascii="Arial" w:eastAsia="等线" w:hAnsi="Arial"/>
                <w:color w:val="000000"/>
                <w:sz w:val="18"/>
                <w:lang w:eastAsia="zh-CN"/>
              </w:rPr>
              <w:t>30</w:t>
            </w:r>
          </w:p>
        </w:tc>
        <w:tc>
          <w:tcPr>
            <w:tcW w:w="1829" w:type="dxa"/>
            <w:tcBorders>
              <w:top w:val="single" w:sz="4" w:space="0" w:color="auto"/>
              <w:left w:val="single" w:sz="4" w:space="0" w:color="auto"/>
              <w:bottom w:val="single" w:sz="4" w:space="0" w:color="auto"/>
              <w:right w:val="single" w:sz="4" w:space="0" w:color="auto"/>
            </w:tcBorders>
            <w:hideMark/>
          </w:tcPr>
          <w:p w14:paraId="45ED8DED"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0.26 us</w:t>
            </w:r>
          </w:p>
        </w:tc>
        <w:tc>
          <w:tcPr>
            <w:tcW w:w="1753" w:type="dxa"/>
            <w:tcBorders>
              <w:top w:val="single" w:sz="4" w:space="0" w:color="auto"/>
              <w:left w:val="single" w:sz="4" w:space="0" w:color="auto"/>
              <w:bottom w:val="single" w:sz="4" w:space="0" w:color="auto"/>
              <w:right w:val="single" w:sz="4" w:space="0" w:color="auto"/>
            </w:tcBorders>
            <w:hideMark/>
          </w:tcPr>
          <w:p w14:paraId="456AA7A5"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1.77 us</w:t>
            </w:r>
          </w:p>
        </w:tc>
        <w:tc>
          <w:tcPr>
            <w:tcW w:w="1753" w:type="dxa"/>
            <w:tcBorders>
              <w:top w:val="single" w:sz="4" w:space="0" w:color="auto"/>
              <w:left w:val="single" w:sz="4" w:space="0" w:color="auto"/>
              <w:bottom w:val="single" w:sz="4" w:space="0" w:color="auto"/>
              <w:right w:val="single" w:sz="4" w:space="0" w:color="auto"/>
            </w:tcBorders>
          </w:tcPr>
          <w:p w14:paraId="27AE4A05"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s="v5.0.0"/>
                <w:color w:val="000000"/>
                <w:sz w:val="18"/>
                <w:lang w:eastAsia="zh-CN"/>
              </w:rPr>
              <w:t>0.41 us</w:t>
            </w:r>
          </w:p>
        </w:tc>
        <w:tc>
          <w:tcPr>
            <w:tcW w:w="1753" w:type="dxa"/>
            <w:tcBorders>
              <w:top w:val="single" w:sz="4" w:space="0" w:color="auto"/>
              <w:left w:val="single" w:sz="4" w:space="0" w:color="auto"/>
              <w:bottom w:val="single" w:sz="4" w:space="0" w:color="auto"/>
              <w:right w:val="single" w:sz="4" w:space="0" w:color="auto"/>
            </w:tcBorders>
            <w:hideMark/>
          </w:tcPr>
          <w:p w14:paraId="645A7CED"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N/A</w:t>
            </w:r>
          </w:p>
        </w:tc>
      </w:tr>
      <w:tr w:rsidR="009225C9" w:rsidRPr="009225C9" w14:paraId="3BFDC373" w14:textId="77777777" w:rsidTr="00810A92">
        <w:trPr>
          <w:cantSplit/>
          <w:jc w:val="center"/>
        </w:trPr>
        <w:tc>
          <w:tcPr>
            <w:tcW w:w="1484" w:type="dxa"/>
            <w:tcBorders>
              <w:top w:val="nil"/>
              <w:left w:val="single" w:sz="4" w:space="0" w:color="auto"/>
              <w:bottom w:val="nil"/>
              <w:right w:val="single" w:sz="4" w:space="0" w:color="auto"/>
            </w:tcBorders>
          </w:tcPr>
          <w:p w14:paraId="4B2FB3EC"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016397C"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60 (FR2)</w:t>
            </w:r>
          </w:p>
        </w:tc>
        <w:tc>
          <w:tcPr>
            <w:tcW w:w="1829" w:type="dxa"/>
            <w:tcBorders>
              <w:top w:val="single" w:sz="4" w:space="0" w:color="auto"/>
              <w:left w:val="single" w:sz="4" w:space="0" w:color="auto"/>
              <w:bottom w:val="single" w:sz="4" w:space="0" w:color="auto"/>
              <w:right w:val="single" w:sz="4" w:space="0" w:color="auto"/>
            </w:tcBorders>
            <w:hideMark/>
          </w:tcPr>
          <w:p w14:paraId="6FA7E7DE"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0.13 us</w:t>
            </w:r>
          </w:p>
        </w:tc>
        <w:tc>
          <w:tcPr>
            <w:tcW w:w="1753" w:type="dxa"/>
            <w:tcBorders>
              <w:top w:val="single" w:sz="4" w:space="0" w:color="auto"/>
              <w:left w:val="single" w:sz="4" w:space="0" w:color="auto"/>
              <w:bottom w:val="single" w:sz="4" w:space="0" w:color="auto"/>
              <w:right w:val="single" w:sz="4" w:space="0" w:color="auto"/>
            </w:tcBorders>
            <w:hideMark/>
          </w:tcPr>
          <w:p w14:paraId="177714BB"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4E630C65"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48DF5CF3"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0.28 us</w:t>
            </w:r>
          </w:p>
        </w:tc>
      </w:tr>
      <w:tr w:rsidR="009225C9" w:rsidRPr="009225C9" w14:paraId="11E5281B" w14:textId="77777777" w:rsidTr="00810A92">
        <w:trPr>
          <w:cantSplit/>
          <w:jc w:val="center"/>
        </w:trPr>
        <w:tc>
          <w:tcPr>
            <w:tcW w:w="1484" w:type="dxa"/>
            <w:tcBorders>
              <w:top w:val="nil"/>
              <w:left w:val="single" w:sz="4" w:space="0" w:color="auto"/>
              <w:bottom w:val="single" w:sz="4" w:space="0" w:color="auto"/>
              <w:right w:val="single" w:sz="4" w:space="0" w:color="auto"/>
            </w:tcBorders>
          </w:tcPr>
          <w:p w14:paraId="113FDF35"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A62B238"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120</w:t>
            </w:r>
          </w:p>
        </w:tc>
        <w:tc>
          <w:tcPr>
            <w:tcW w:w="1829" w:type="dxa"/>
            <w:tcBorders>
              <w:top w:val="single" w:sz="4" w:space="0" w:color="auto"/>
              <w:left w:val="single" w:sz="4" w:space="0" w:color="auto"/>
              <w:bottom w:val="single" w:sz="4" w:space="0" w:color="auto"/>
              <w:right w:val="single" w:sz="4" w:space="0" w:color="auto"/>
            </w:tcBorders>
            <w:hideMark/>
          </w:tcPr>
          <w:p w14:paraId="175BF081"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0.07 us</w:t>
            </w:r>
          </w:p>
        </w:tc>
        <w:tc>
          <w:tcPr>
            <w:tcW w:w="1753" w:type="dxa"/>
            <w:tcBorders>
              <w:top w:val="single" w:sz="4" w:space="0" w:color="auto"/>
              <w:left w:val="single" w:sz="4" w:space="0" w:color="auto"/>
              <w:bottom w:val="single" w:sz="4" w:space="0" w:color="auto"/>
              <w:right w:val="single" w:sz="4" w:space="0" w:color="auto"/>
            </w:tcBorders>
            <w:hideMark/>
          </w:tcPr>
          <w:p w14:paraId="3D263664"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7E0176A3"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19314307" w14:textId="77777777" w:rsidR="009225C9" w:rsidRPr="009225C9" w:rsidRDefault="009225C9" w:rsidP="009225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225C9">
              <w:rPr>
                <w:rFonts w:ascii="Arial" w:eastAsia="等线" w:hAnsi="Arial"/>
                <w:color w:val="000000"/>
                <w:sz w:val="18"/>
                <w:lang w:eastAsia="zh-CN"/>
              </w:rPr>
              <w:t>0.22 us</w:t>
            </w:r>
          </w:p>
        </w:tc>
      </w:tr>
    </w:tbl>
    <w:p w14:paraId="1F404F01" w14:textId="77777777" w:rsidR="009225C9" w:rsidRPr="009225C9" w:rsidRDefault="009225C9" w:rsidP="009225C9">
      <w:pPr>
        <w:overflowPunct w:val="0"/>
        <w:autoSpaceDE w:val="0"/>
        <w:autoSpaceDN w:val="0"/>
        <w:adjustRightInd w:val="0"/>
        <w:textAlignment w:val="baseline"/>
        <w:rPr>
          <w:rFonts w:eastAsia="等线"/>
          <w:color w:val="000000"/>
          <w:lang w:eastAsia="zh-CN"/>
        </w:rPr>
      </w:pPr>
    </w:p>
    <w:p w14:paraId="01239FE0" w14:textId="77777777" w:rsidR="009225C9" w:rsidRPr="009225C9" w:rsidRDefault="009225C9" w:rsidP="009225C9">
      <w:pPr>
        <w:overflowPunct w:val="0"/>
        <w:autoSpaceDE w:val="0"/>
        <w:autoSpaceDN w:val="0"/>
        <w:adjustRightInd w:val="0"/>
        <w:textAlignment w:val="baseline"/>
        <w:rPr>
          <w:rFonts w:eastAsia="等线"/>
          <w:color w:val="000000"/>
          <w:lang w:eastAsia="zh-CN"/>
        </w:rPr>
      </w:pPr>
      <w:r w:rsidRPr="009225C9">
        <w:rPr>
          <w:rFonts w:eastAsia="等线"/>
          <w:color w:val="000000"/>
          <w:lang w:eastAsia="zh-CN"/>
        </w:rPr>
        <w:t xml:space="preserve">The test preambles for normal mode are listed in table </w:t>
      </w:r>
      <w:r w:rsidRPr="009225C9">
        <w:rPr>
          <w:rFonts w:eastAsia="等线"/>
          <w:color w:val="000000"/>
          <w:lang w:eastAsia="ja-JP"/>
        </w:rPr>
        <w:t>A.6-1 and A.6-2</w:t>
      </w:r>
      <w:r w:rsidRPr="009225C9">
        <w:rPr>
          <w:rFonts w:eastAsia="等线"/>
          <w:color w:val="000000"/>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4B870266" w14:textId="25EDADA6" w:rsidR="009225C9" w:rsidRPr="009225C9" w:rsidRDefault="009225C9" w:rsidP="009225C9">
      <w:pPr>
        <w:rPr>
          <w:highlight w:val="yellow"/>
        </w:rPr>
      </w:pPr>
      <w:r w:rsidRPr="009225C9">
        <w:rPr>
          <w:rFonts w:eastAsia="等线"/>
          <w:color w:val="000000"/>
          <w:lang w:val="en-US" w:eastAsia="zh-CN"/>
        </w:rPr>
        <w:t>Which specific test(s) are applicable to BS is based on the test applicability rules defined in clause 8.1.2. The performance requirements for high speed train (table 8.4.1.6.1-1 to 8.4.1.6.1-4 and table 8.4.1.6.2-1) are optional</w:t>
      </w:r>
      <w:ins w:id="25" w:author="Huawei" w:date="2022-08-22T10:55:00Z">
        <w:r>
          <w:rPr>
            <w:rFonts w:eastAsia="等线"/>
            <w:color w:val="000000"/>
            <w:lang w:val="en-US" w:eastAsia="zh-CN"/>
          </w:rPr>
          <w:t xml:space="preserve"> and </w:t>
        </w:r>
        <w:r w:rsidRPr="009225C9">
          <w:rPr>
            <w:rFonts w:eastAsia="等线"/>
            <w:color w:val="000000"/>
            <w:lang w:val="en-US" w:eastAsia="zh-CN"/>
          </w:rPr>
          <w:t>only applicable for FR2-1</w:t>
        </w:r>
      </w:ins>
      <w:ins w:id="26" w:author="Nokia (Dimitri Gold)" w:date="2022-08-24T15:14:00Z">
        <w:r w:rsidR="004C4ED7">
          <w:rPr>
            <w:rFonts w:eastAsia="等线"/>
            <w:color w:val="000000"/>
            <w:lang w:val="en-US" w:eastAsia="zh-CN"/>
          </w:rPr>
          <w:t xml:space="preserve"> below 30 GHz</w:t>
        </w:r>
      </w:ins>
      <w:r w:rsidRPr="009225C9">
        <w:rPr>
          <w:rFonts w:eastAsia="等线"/>
          <w:color w:val="000000"/>
          <w:lang w:val="en-US" w:eastAsia="zh-CN"/>
        </w:rPr>
        <w:t xml:space="preserve">. </w:t>
      </w:r>
      <w:r w:rsidRPr="009225C9">
        <w:rPr>
          <w:rFonts w:eastAsia="等线"/>
          <w:color w:val="000000"/>
          <w:lang w:eastAsia="zh-CN"/>
        </w:rPr>
        <w:t xml:space="preserve">The test preambles for PRACH </w:t>
      </w:r>
      <w:r w:rsidRPr="009225C9">
        <w:rPr>
          <w:rFonts w:eastAsia="Malgun Gothic"/>
          <w:color w:val="000000"/>
          <w:lang w:eastAsia="ja-JP"/>
        </w:rPr>
        <w:t>with L</w:t>
      </w:r>
      <w:r w:rsidRPr="009225C9">
        <w:rPr>
          <w:rFonts w:eastAsia="Malgun Gothic"/>
          <w:color w:val="000000"/>
          <w:vertAlign w:val="subscript"/>
          <w:lang w:eastAsia="ja-JP"/>
        </w:rPr>
        <w:t>RA</w:t>
      </w:r>
      <w:r w:rsidRPr="009225C9">
        <w:rPr>
          <w:rFonts w:eastAsia="Malgun Gothic"/>
          <w:color w:val="000000"/>
          <w:lang w:eastAsia="ja-JP"/>
        </w:rPr>
        <w:t>=1151 and L</w:t>
      </w:r>
      <w:r w:rsidRPr="009225C9">
        <w:rPr>
          <w:rFonts w:eastAsia="Malgun Gothic"/>
          <w:color w:val="000000"/>
          <w:vertAlign w:val="subscript"/>
          <w:lang w:eastAsia="ja-JP"/>
        </w:rPr>
        <w:t>RA</w:t>
      </w:r>
      <w:r w:rsidRPr="009225C9">
        <w:rPr>
          <w:rFonts w:eastAsia="Malgun Gothic"/>
          <w:color w:val="000000"/>
          <w:lang w:eastAsia="ja-JP"/>
        </w:rPr>
        <w:t>=571 are listed in table A.6-6.</w:t>
      </w:r>
    </w:p>
    <w:p w14:paraId="176DC4A9" w14:textId="77777777" w:rsidR="009225C9" w:rsidRPr="002F49C6" w:rsidRDefault="009225C9" w:rsidP="009225C9">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7E14F5A8" w14:textId="77777777" w:rsidR="009225C9" w:rsidRPr="009225C9" w:rsidRDefault="009225C9" w:rsidP="009225C9">
      <w:pPr>
        <w:rPr>
          <w:highlight w:val="yellow"/>
        </w:rPr>
      </w:pPr>
    </w:p>
    <w:p w14:paraId="19A7A81E" w14:textId="6E95889D" w:rsidR="004D33FB" w:rsidRDefault="004D33FB" w:rsidP="004D33FB">
      <w:pPr>
        <w:pStyle w:val="aff2"/>
        <w:rPr>
          <w:rFonts w:ascii="Times New Roman" w:hAnsi="Times New Roman"/>
          <w:i/>
          <w:highlight w:val="yellow"/>
        </w:rPr>
      </w:pPr>
      <w:r w:rsidRPr="002F49C6">
        <w:rPr>
          <w:rFonts w:ascii="Times New Roman" w:hAnsi="Times New Roman"/>
          <w:i/>
          <w:highlight w:val="yellow"/>
        </w:rPr>
        <w:t xml:space="preserve">&lt;START OF THE CHANGE </w:t>
      </w:r>
      <w:r w:rsidR="009225C9">
        <w:rPr>
          <w:rFonts w:ascii="Times New Roman" w:hAnsi="Times New Roman"/>
          <w:i/>
          <w:highlight w:val="yellow"/>
        </w:rPr>
        <w:t>2</w:t>
      </w:r>
      <w:r w:rsidRPr="002F49C6">
        <w:rPr>
          <w:rFonts w:ascii="Times New Roman" w:hAnsi="Times New Roman"/>
          <w:i/>
          <w:highlight w:val="yellow"/>
        </w:rPr>
        <w:t>&gt;</w:t>
      </w:r>
    </w:p>
    <w:p w14:paraId="0AFB734C" w14:textId="77777777" w:rsidR="003C5AA8" w:rsidRPr="003C5AA8" w:rsidRDefault="003C5AA8" w:rsidP="003C5AA8">
      <w:pPr>
        <w:keepNext/>
        <w:keepLines/>
        <w:overflowPunct w:val="0"/>
        <w:autoSpaceDE w:val="0"/>
        <w:autoSpaceDN w:val="0"/>
        <w:adjustRightInd w:val="0"/>
        <w:spacing w:before="120"/>
        <w:ind w:left="1701" w:hanging="1701"/>
        <w:textAlignment w:val="baseline"/>
        <w:outlineLvl w:val="4"/>
        <w:rPr>
          <w:rFonts w:ascii="Arial" w:eastAsia="等线" w:hAnsi="Arial"/>
          <w:i/>
          <w:iCs/>
          <w:sz w:val="22"/>
          <w:lang w:eastAsia="ja-JP"/>
        </w:rPr>
      </w:pPr>
      <w:bookmarkStart w:id="27" w:name="_Toc106207037"/>
      <w:r w:rsidRPr="003C5AA8">
        <w:rPr>
          <w:rFonts w:ascii="Arial" w:eastAsia="等线" w:hAnsi="Arial"/>
          <w:sz w:val="22"/>
          <w:lang w:eastAsia="ja-JP"/>
        </w:rPr>
        <w:t>8.</w:t>
      </w:r>
      <w:r w:rsidRPr="003C5AA8">
        <w:rPr>
          <w:rFonts w:ascii="Arial" w:eastAsia="等线" w:hAnsi="Arial" w:hint="eastAsia"/>
          <w:sz w:val="22"/>
          <w:lang w:eastAsia="zh-CN"/>
        </w:rPr>
        <w:t>4</w:t>
      </w:r>
      <w:r w:rsidRPr="003C5AA8">
        <w:rPr>
          <w:rFonts w:ascii="Arial" w:eastAsia="等线" w:hAnsi="Arial"/>
          <w:sz w:val="22"/>
          <w:lang w:eastAsia="ja-JP"/>
        </w:rPr>
        <w:t>.</w:t>
      </w:r>
      <w:r w:rsidRPr="003C5AA8">
        <w:rPr>
          <w:rFonts w:ascii="Arial" w:eastAsia="等线" w:hAnsi="Arial" w:hint="eastAsia"/>
          <w:sz w:val="22"/>
          <w:lang w:eastAsia="zh-CN"/>
        </w:rPr>
        <w:t>1</w:t>
      </w:r>
      <w:r w:rsidRPr="003C5AA8">
        <w:rPr>
          <w:rFonts w:ascii="Arial" w:eastAsia="等线" w:hAnsi="Arial" w:hint="eastAsia"/>
          <w:sz w:val="22"/>
          <w:lang w:eastAsia="ja-JP"/>
        </w:rPr>
        <w:t>.</w:t>
      </w:r>
      <w:r w:rsidRPr="003C5AA8">
        <w:rPr>
          <w:rFonts w:ascii="Arial" w:eastAsia="等线" w:hAnsi="Arial" w:hint="eastAsia"/>
          <w:sz w:val="22"/>
          <w:lang w:eastAsia="zh-CN"/>
        </w:rPr>
        <w:t>6</w:t>
      </w:r>
      <w:r w:rsidRPr="003C5AA8">
        <w:rPr>
          <w:rFonts w:ascii="Arial" w:eastAsia="等线" w:hAnsi="Arial"/>
          <w:sz w:val="22"/>
          <w:lang w:eastAsia="ja-JP"/>
        </w:rPr>
        <w:t>.</w:t>
      </w:r>
      <w:r w:rsidRPr="003C5AA8">
        <w:rPr>
          <w:rFonts w:ascii="Arial" w:eastAsia="等线" w:hAnsi="Arial"/>
          <w:sz w:val="22"/>
          <w:lang w:eastAsia="zh-CN"/>
        </w:rPr>
        <w:t>2</w:t>
      </w:r>
      <w:r w:rsidRPr="003C5AA8">
        <w:rPr>
          <w:rFonts w:ascii="Arial" w:eastAsia="等线" w:hAnsi="Arial"/>
          <w:sz w:val="22"/>
          <w:lang w:eastAsia="ja-JP"/>
        </w:rPr>
        <w:tab/>
        <w:t xml:space="preserve">Test </w:t>
      </w:r>
      <w:r w:rsidRPr="003C5AA8">
        <w:rPr>
          <w:rFonts w:ascii="Arial" w:eastAsia="等线" w:hAnsi="Arial" w:hint="eastAsia"/>
          <w:sz w:val="22"/>
          <w:lang w:eastAsia="zh-CN"/>
        </w:rPr>
        <w:t>r</w:t>
      </w:r>
      <w:r w:rsidRPr="003C5AA8">
        <w:rPr>
          <w:rFonts w:ascii="Arial" w:eastAsia="等线" w:hAnsi="Arial"/>
          <w:sz w:val="22"/>
          <w:lang w:eastAsia="ja-JP"/>
        </w:rPr>
        <w:t xml:space="preserve">equirement for </w:t>
      </w:r>
      <w:r w:rsidRPr="003C5AA8">
        <w:rPr>
          <w:rFonts w:ascii="Arial" w:eastAsia="等线" w:hAnsi="Arial"/>
          <w:i/>
          <w:iCs/>
          <w:sz w:val="22"/>
          <w:lang w:eastAsia="ja-JP"/>
        </w:rPr>
        <w:t>BS type 2-O</w:t>
      </w:r>
      <w:bookmarkEnd w:id="27"/>
    </w:p>
    <w:p w14:paraId="6B82E07B" w14:textId="77777777" w:rsidR="003C5AA8" w:rsidRPr="003C5AA8" w:rsidRDefault="003C5AA8" w:rsidP="003C5AA8">
      <w:pPr>
        <w:overflowPunct w:val="0"/>
        <w:autoSpaceDE w:val="0"/>
        <w:autoSpaceDN w:val="0"/>
        <w:adjustRightInd w:val="0"/>
        <w:textAlignment w:val="baseline"/>
        <w:rPr>
          <w:rFonts w:eastAsia="等线"/>
          <w:color w:val="000000"/>
          <w:lang w:eastAsia="ja-JP"/>
        </w:rPr>
      </w:pPr>
      <w:proofErr w:type="spellStart"/>
      <w:r w:rsidRPr="003C5AA8">
        <w:rPr>
          <w:rFonts w:eastAsia="等线"/>
          <w:color w:val="000000"/>
          <w:lang w:eastAsia="ja-JP"/>
        </w:rPr>
        <w:t>Pfa</w:t>
      </w:r>
      <w:proofErr w:type="spellEnd"/>
      <w:r w:rsidRPr="003C5AA8">
        <w:rPr>
          <w:rFonts w:eastAsia="等线"/>
          <w:color w:val="000000"/>
          <w:lang w:eastAsia="ja-JP"/>
        </w:rPr>
        <w:t xml:space="preserve"> shall not exceed 0.1%. Pd shall not be below 99% for the SNRs in Table 8.4.1.6.2-1.</w:t>
      </w:r>
    </w:p>
    <w:p w14:paraId="16EABF87" w14:textId="77777777" w:rsidR="003C5AA8" w:rsidRPr="003C5AA8" w:rsidRDefault="003C5AA8" w:rsidP="003C5AA8">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3C5AA8">
        <w:rPr>
          <w:rFonts w:ascii="Arial" w:eastAsia="等线" w:hAnsi="Arial"/>
          <w:b/>
          <w:color w:val="000000"/>
          <w:lang w:eastAsia="ja-JP"/>
        </w:rPr>
        <w:t>Table 8.4.1.6.2-1: PRACH missed detection requirements for high speed train</w:t>
      </w:r>
      <w:r w:rsidRPr="003C5AA8">
        <w:rPr>
          <w:rFonts w:ascii="Arial" w:eastAsia="等线" w:hAnsi="Arial"/>
          <w:b/>
          <w:color w:val="000000"/>
          <w:lang w:eastAsia="zh-CN"/>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3C5AA8" w:rsidRPr="003C5AA8" w14:paraId="24B4F1B6" w14:textId="77777777" w:rsidTr="000B742D">
        <w:trPr>
          <w:cantSplit/>
          <w:jc w:val="center"/>
        </w:trPr>
        <w:tc>
          <w:tcPr>
            <w:tcW w:w="0" w:type="auto"/>
            <w:vMerge w:val="restart"/>
            <w:vAlign w:val="center"/>
          </w:tcPr>
          <w:p w14:paraId="46C266CC"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Number of</w:t>
            </w:r>
          </w:p>
          <w:p w14:paraId="2AEE8843"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TX antennas</w:t>
            </w:r>
          </w:p>
        </w:tc>
        <w:tc>
          <w:tcPr>
            <w:tcW w:w="0" w:type="auto"/>
            <w:vMerge w:val="restart"/>
            <w:vAlign w:val="center"/>
          </w:tcPr>
          <w:p w14:paraId="1BEE3840"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Number of</w:t>
            </w:r>
          </w:p>
          <w:p w14:paraId="1CF0B4C9"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RX antennas</w:t>
            </w:r>
          </w:p>
        </w:tc>
        <w:tc>
          <w:tcPr>
            <w:tcW w:w="0" w:type="auto"/>
            <w:vMerge w:val="restart"/>
            <w:vAlign w:val="center"/>
          </w:tcPr>
          <w:p w14:paraId="59544C13"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Propagation</w:t>
            </w:r>
          </w:p>
          <w:p w14:paraId="11F75291"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conditions (Annex G)</w:t>
            </w:r>
          </w:p>
        </w:tc>
        <w:tc>
          <w:tcPr>
            <w:tcW w:w="0" w:type="auto"/>
            <w:vMerge w:val="restart"/>
            <w:vAlign w:val="center"/>
          </w:tcPr>
          <w:p w14:paraId="58273A19"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Frequency</w:t>
            </w:r>
          </w:p>
          <w:p w14:paraId="73ECBE79"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offset</w:t>
            </w:r>
          </w:p>
        </w:tc>
        <w:tc>
          <w:tcPr>
            <w:tcW w:w="0" w:type="auto"/>
            <w:tcBorders>
              <w:bottom w:val="nil"/>
            </w:tcBorders>
            <w:vAlign w:val="center"/>
          </w:tcPr>
          <w:p w14:paraId="5C542FA7"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cs="Arial"/>
                <w:b/>
                <w:color w:val="000000"/>
                <w:sz w:val="18"/>
                <w:lang w:eastAsia="ja-JP"/>
              </w:rPr>
              <w:t>SNR (dB)</w:t>
            </w:r>
          </w:p>
        </w:tc>
      </w:tr>
      <w:tr w:rsidR="003C5AA8" w:rsidRPr="003C5AA8" w14:paraId="57F06C3C" w14:textId="77777777" w:rsidTr="000B742D">
        <w:trPr>
          <w:cantSplit/>
          <w:jc w:val="center"/>
        </w:trPr>
        <w:tc>
          <w:tcPr>
            <w:tcW w:w="0" w:type="auto"/>
            <w:vMerge/>
            <w:tcBorders>
              <w:bottom w:val="single" w:sz="4" w:space="0" w:color="auto"/>
            </w:tcBorders>
            <w:vAlign w:val="center"/>
          </w:tcPr>
          <w:p w14:paraId="4CA99700"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0" w:type="auto"/>
            <w:vMerge/>
            <w:tcBorders>
              <w:bottom w:val="single" w:sz="4" w:space="0" w:color="auto"/>
            </w:tcBorders>
            <w:vAlign w:val="center"/>
          </w:tcPr>
          <w:p w14:paraId="2112CA92"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0" w:type="auto"/>
            <w:vMerge/>
            <w:vAlign w:val="center"/>
          </w:tcPr>
          <w:p w14:paraId="68F20845"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0" w:type="auto"/>
            <w:vMerge/>
            <w:vAlign w:val="center"/>
          </w:tcPr>
          <w:p w14:paraId="283438FA"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0" w:type="auto"/>
            <w:tcBorders>
              <w:top w:val="single" w:sz="4" w:space="0" w:color="auto"/>
            </w:tcBorders>
            <w:vAlign w:val="center"/>
          </w:tcPr>
          <w:p w14:paraId="767A9699"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cs="Arial"/>
                <w:b/>
                <w:color w:val="000000"/>
                <w:sz w:val="18"/>
                <w:lang w:eastAsia="ja-JP"/>
              </w:rPr>
              <w:t>Burst format C2</w:t>
            </w:r>
          </w:p>
        </w:tc>
      </w:tr>
      <w:tr w:rsidR="003C5AA8" w:rsidRPr="003C5AA8" w14:paraId="7030A2B4" w14:textId="77777777" w:rsidTr="000B742D">
        <w:trPr>
          <w:cantSplit/>
          <w:jc w:val="center"/>
        </w:trPr>
        <w:tc>
          <w:tcPr>
            <w:tcW w:w="0" w:type="auto"/>
            <w:vAlign w:val="center"/>
          </w:tcPr>
          <w:p w14:paraId="3D750EFE"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C5AA8">
              <w:rPr>
                <w:rFonts w:ascii="Arial" w:eastAsia="等线" w:hAnsi="Arial"/>
                <w:color w:val="000000"/>
                <w:sz w:val="18"/>
                <w:lang w:eastAsia="zh-CN"/>
              </w:rPr>
              <w:t>1</w:t>
            </w:r>
          </w:p>
        </w:tc>
        <w:tc>
          <w:tcPr>
            <w:tcW w:w="0" w:type="auto"/>
            <w:tcBorders>
              <w:bottom w:val="single" w:sz="4" w:space="0" w:color="auto"/>
            </w:tcBorders>
            <w:vAlign w:val="center"/>
          </w:tcPr>
          <w:p w14:paraId="4ECCEDE8"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C5AA8">
              <w:rPr>
                <w:rFonts w:ascii="Arial" w:eastAsia="等线" w:hAnsi="Arial"/>
                <w:color w:val="000000"/>
                <w:sz w:val="18"/>
                <w:lang w:eastAsia="ja-JP"/>
              </w:rPr>
              <w:t>2</w:t>
            </w:r>
          </w:p>
        </w:tc>
        <w:tc>
          <w:tcPr>
            <w:tcW w:w="0" w:type="auto"/>
            <w:vAlign w:val="center"/>
          </w:tcPr>
          <w:p w14:paraId="26CFA9A3"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C5AA8">
              <w:rPr>
                <w:rFonts w:ascii="Arial" w:eastAsia="等线" w:hAnsi="Arial"/>
                <w:color w:val="000000"/>
                <w:sz w:val="18"/>
                <w:lang w:eastAsia="zh-CN"/>
              </w:rPr>
              <w:t>AWGN</w:t>
            </w:r>
          </w:p>
        </w:tc>
        <w:tc>
          <w:tcPr>
            <w:tcW w:w="0" w:type="auto"/>
            <w:vAlign w:val="center"/>
          </w:tcPr>
          <w:p w14:paraId="07AB8937"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C5AA8">
              <w:rPr>
                <w:rFonts w:ascii="Arial" w:eastAsia="等线" w:hAnsi="Arial"/>
                <w:color w:val="000000"/>
                <w:sz w:val="18"/>
                <w:lang w:eastAsia="zh-CN"/>
              </w:rPr>
              <w:t>19444 Hz</w:t>
            </w:r>
          </w:p>
        </w:tc>
        <w:tc>
          <w:tcPr>
            <w:tcW w:w="0" w:type="auto"/>
            <w:vAlign w:val="center"/>
          </w:tcPr>
          <w:p w14:paraId="5ABBC2E5"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del w:id="28" w:author="Huawei" w:date="2022-07-07T12:07:00Z">
              <w:r w:rsidRPr="003C5AA8" w:rsidDel="003C5AA8">
                <w:rPr>
                  <w:rFonts w:ascii="Arial" w:eastAsia="等线" w:hAnsi="Arial"/>
                  <w:color w:val="000000"/>
                  <w:sz w:val="18"/>
                  <w:lang w:eastAsia="ja-JP"/>
                </w:rPr>
                <w:delText>[</w:delText>
              </w:r>
            </w:del>
            <w:r w:rsidRPr="003C5AA8">
              <w:rPr>
                <w:rFonts w:ascii="Arial" w:eastAsia="等线" w:hAnsi="Arial"/>
                <w:color w:val="000000"/>
                <w:sz w:val="18"/>
                <w:lang w:eastAsia="ja-JP"/>
              </w:rPr>
              <w:t>-9.8</w:t>
            </w:r>
            <w:del w:id="29" w:author="Huawei" w:date="2022-07-07T12:07:00Z">
              <w:r w:rsidRPr="003C5AA8" w:rsidDel="003C5AA8">
                <w:rPr>
                  <w:rFonts w:ascii="Arial" w:eastAsia="等线" w:hAnsi="Arial"/>
                  <w:color w:val="000000"/>
                  <w:sz w:val="18"/>
                  <w:lang w:eastAsia="ja-JP"/>
                </w:rPr>
                <w:delText>]</w:delText>
              </w:r>
            </w:del>
          </w:p>
        </w:tc>
      </w:tr>
    </w:tbl>
    <w:p w14:paraId="10BF8716" w14:textId="30D47BE9" w:rsidR="002A5B4B" w:rsidRPr="002A5B4B" w:rsidRDefault="002A5B4B" w:rsidP="002A5B4B">
      <w:pPr>
        <w:rPr>
          <w:highlight w:val="yellow"/>
          <w:lang w:val="nb-NO" w:eastAsia="en-GB"/>
        </w:rPr>
      </w:pPr>
    </w:p>
    <w:bookmarkEnd w:id="23"/>
    <w:p w14:paraId="0A2ED5ED" w14:textId="1029F778" w:rsidR="004D33FB" w:rsidRPr="002F49C6" w:rsidRDefault="004D33FB" w:rsidP="004D33FB">
      <w:pPr>
        <w:pStyle w:val="aff2"/>
        <w:rPr>
          <w:rFonts w:ascii="Times New Roman" w:hAnsi="Times New Roman"/>
          <w:i/>
          <w:highlight w:val="yellow"/>
        </w:rPr>
      </w:pPr>
      <w:r>
        <w:rPr>
          <w:rFonts w:ascii="Times New Roman" w:hAnsi="Times New Roman"/>
          <w:i/>
          <w:highlight w:val="yellow"/>
        </w:rPr>
        <w:t xml:space="preserve">&lt;END OF THE CHANGE </w:t>
      </w:r>
      <w:r w:rsidR="009225C9">
        <w:rPr>
          <w:rFonts w:ascii="Times New Roman" w:hAnsi="Times New Roman"/>
          <w:i/>
          <w:highlight w:val="yellow"/>
        </w:rPr>
        <w:t>2</w:t>
      </w:r>
      <w:r w:rsidRPr="002F49C6">
        <w:rPr>
          <w:rFonts w:ascii="Times New Roman" w:hAnsi="Times New Roman"/>
          <w:i/>
          <w:highlight w:val="yellow"/>
        </w:rPr>
        <w:t>&gt;</w:t>
      </w:r>
    </w:p>
    <w:bookmarkEnd w:id="2"/>
    <w:bookmarkEnd w:id="24"/>
    <w:p w14:paraId="1DC7C442" w14:textId="77777777" w:rsidR="00B80968" w:rsidRDefault="00B80968" w:rsidP="004D33FB">
      <w:pPr>
        <w:rPr>
          <w:highlight w:val="yellow"/>
        </w:rPr>
      </w:pPr>
    </w:p>
    <w:sectPr w:rsidR="00B809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702E6" w14:textId="77777777" w:rsidR="00B032D4" w:rsidRDefault="00B032D4">
      <w:r>
        <w:separator/>
      </w:r>
    </w:p>
  </w:endnote>
  <w:endnote w:type="continuationSeparator" w:id="0">
    <w:p w14:paraId="2571BEAD" w14:textId="77777777" w:rsidR="00B032D4" w:rsidRDefault="00B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DF84D" w14:textId="77777777" w:rsidR="00B032D4" w:rsidRDefault="00B032D4">
      <w:r>
        <w:separator/>
      </w:r>
    </w:p>
  </w:footnote>
  <w:footnote w:type="continuationSeparator" w:id="0">
    <w:p w14:paraId="2AC36BDD" w14:textId="77777777" w:rsidR="00B032D4" w:rsidRDefault="00B03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2A5B4B" w:rsidRDefault="002A5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2A5B4B" w:rsidRDefault="002A5B4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2A5B4B" w:rsidRDefault="002A5B4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2A5B4B" w:rsidRDefault="002A5B4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32A6"/>
    <w:rsid w:val="00084CEC"/>
    <w:rsid w:val="00084EE9"/>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C5AA8"/>
    <w:rsid w:val="003D4A99"/>
    <w:rsid w:val="003D503F"/>
    <w:rsid w:val="003D6632"/>
    <w:rsid w:val="003E11FB"/>
    <w:rsid w:val="003E1A36"/>
    <w:rsid w:val="003E7FF9"/>
    <w:rsid w:val="003F4809"/>
    <w:rsid w:val="003F4A75"/>
    <w:rsid w:val="003F718C"/>
    <w:rsid w:val="004041BB"/>
    <w:rsid w:val="00410371"/>
    <w:rsid w:val="004242F1"/>
    <w:rsid w:val="00434B92"/>
    <w:rsid w:val="00455B91"/>
    <w:rsid w:val="00463C8A"/>
    <w:rsid w:val="0046643B"/>
    <w:rsid w:val="00467898"/>
    <w:rsid w:val="00471FD9"/>
    <w:rsid w:val="0047666B"/>
    <w:rsid w:val="0048446A"/>
    <w:rsid w:val="0049190D"/>
    <w:rsid w:val="00492C07"/>
    <w:rsid w:val="00497354"/>
    <w:rsid w:val="004B167A"/>
    <w:rsid w:val="004B75B7"/>
    <w:rsid w:val="004C46FA"/>
    <w:rsid w:val="004C4ED7"/>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A6440"/>
    <w:rsid w:val="005B5443"/>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3A65"/>
    <w:rsid w:val="00646A8E"/>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46E87"/>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2055"/>
    <w:rsid w:val="008F686C"/>
    <w:rsid w:val="00900087"/>
    <w:rsid w:val="00910435"/>
    <w:rsid w:val="009148DE"/>
    <w:rsid w:val="00914945"/>
    <w:rsid w:val="009167CD"/>
    <w:rsid w:val="00917870"/>
    <w:rsid w:val="00920269"/>
    <w:rsid w:val="00921F76"/>
    <w:rsid w:val="009225C9"/>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006A"/>
    <w:rsid w:val="00AD1CD8"/>
    <w:rsid w:val="00AD2F3C"/>
    <w:rsid w:val="00AF2B45"/>
    <w:rsid w:val="00AF3DF7"/>
    <w:rsid w:val="00AF48CE"/>
    <w:rsid w:val="00AF7769"/>
    <w:rsid w:val="00B032D4"/>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7277D"/>
    <w:rsid w:val="00B80968"/>
    <w:rsid w:val="00B81335"/>
    <w:rsid w:val="00B850DD"/>
    <w:rsid w:val="00B9623D"/>
    <w:rsid w:val="00B968C8"/>
    <w:rsid w:val="00B97E10"/>
    <w:rsid w:val="00BA140E"/>
    <w:rsid w:val="00BA3EC5"/>
    <w:rsid w:val="00BA51D9"/>
    <w:rsid w:val="00BB1650"/>
    <w:rsid w:val="00BB5DFC"/>
    <w:rsid w:val="00BC339F"/>
    <w:rsid w:val="00BD279D"/>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80E39"/>
    <w:rsid w:val="00E85080"/>
    <w:rsid w:val="00E939C8"/>
    <w:rsid w:val="00E94E0F"/>
    <w:rsid w:val="00E95193"/>
    <w:rsid w:val="00E96744"/>
    <w:rsid w:val="00EA2543"/>
    <w:rsid w:val="00EA45E1"/>
    <w:rsid w:val="00EA5CA5"/>
    <w:rsid w:val="00EB06AD"/>
    <w:rsid w:val="00EB09B7"/>
    <w:rsid w:val="00EB0E4F"/>
    <w:rsid w:val="00EB208B"/>
    <w:rsid w:val="00EB290A"/>
    <w:rsid w:val="00EB429D"/>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20844485">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092639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1238356">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D285E-40D1-4A23-A31F-8B23D8719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2</Pages>
  <Words>693</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1900-01-01T00:00:00Z</cp:lastPrinted>
  <dcterms:created xsi:type="dcterms:W3CDTF">2022-08-22T02:58:00Z</dcterms:created>
  <dcterms:modified xsi:type="dcterms:W3CDTF">2022-08-25T12:16:00Z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(3)rkxPVmIteMQnp6k7hPtGdxUhajH43EFHR0NvHxVWPV8Hc9OTZkpmyizgOKcm3itQl10wsYAO
iGnA3WW5i1Bv+P/DNlVkn/xe6gblbuD0w4UT/YY6dPMsr7k4yajE98RgEqQ8leDrutxaWqDJ
GuASMVmmym0GOOq/4nEk5kuyzY1cGj62ui43FAOLtgN+7s1/2XBHgKJZKWhYzT1CHzZJ95U5
gFRF0+/4PpSD+nt/wJ</vt:lpwstr>
  </property>
  <property fmtid="{D5CDD505-2E9C-101B-9397-08002B2CF9AE}" pid="22" name="_2015_ms_pID_7253431">
    <vt:lpwstr>ryrNJgqDsAnKxqMdO5nk9gTMUgSkJy+iAhsF1r2zsCENnkzU5RW/OO
yiMrItixgM3nV7AmJiiiHOQnd055IwvUYZC0uT4mCw8qH2pD4qoYH42zzJSl32B2Tw8a07wE
2zZoieX6No8kqcBXtf4MHNo5/dMECULUTtSvWpOaLoC4v1Y4owVmB5q/b4t9Xzzv44PO+gj1
+q8QwirvcOow7yk6jfQEVBuwJyHXWF9OVmUI</vt:lpwstr>
  </property>
  <property fmtid="{D5CDD505-2E9C-101B-9397-08002B2CF9AE}" pid="23" name="_2015_ms_pID_7253432">
    <vt:lpwstr>SA26Ktlv8qAAQCtGJMOq1s0=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